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360" w:before="240" w:after="240"/>
        <w:jc w:val="left"/>
        <w:rPr/>
      </w:pPr>
      <w:r>
        <w:rPr/>
        <w:t>JUSO Zug Jahresbericht 2023-2024</w:t>
        <w:br/>
        <w:t>Enthält Budget 2023, Rechnung 2023 und Budget 2024</w:t>
      </w:r>
    </w:p>
    <w:tbl>
      <w:tblPr>
        <w:tblStyle w:val="Tabellenraster"/>
        <w:tblW w:w="9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98"/>
        <w:gridCol w:w="2169"/>
        <w:gridCol w:w="2170"/>
        <w:gridCol w:w="2170"/>
      </w:tblGrid>
      <w:tr>
        <w:trPr>
          <w:trHeight w:val="896" w:hRule="atLeast"/>
        </w:trPr>
        <w:tc>
          <w:tcPr>
            <w:tcW w:w="9007" w:type="dxa"/>
            <w:gridSpan w:val="4"/>
            <w:tcBorders/>
          </w:tcPr>
          <w:p>
            <w:pPr>
              <w:pStyle w:val="Normal"/>
              <w:widowControl/>
              <w:spacing w:before="240" w:after="240"/>
              <w:jc w:val="center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Einnahmen</w:t>
            </w:r>
          </w:p>
        </w:tc>
      </w:tr>
      <w:tr>
        <w:trPr>
          <w:trHeight w:val="90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Zweck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2023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Rechnung 2023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2024</w:t>
            </w:r>
          </w:p>
        </w:tc>
      </w:tr>
      <w:tr>
        <w:trPr>
          <w:trHeight w:val="129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Beitrag SP Kanton Zug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1000.00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1000.00</w:t>
            </w:r>
          </w:p>
        </w:tc>
      </w:tr>
      <w:tr>
        <w:trPr>
          <w:trHeight w:val="129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Rückvergütung JUSO CH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722.00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1022.00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1430.80</w:t>
            </w:r>
          </w:p>
        </w:tc>
      </w:tr>
      <w:tr>
        <w:trPr>
          <w:trHeight w:val="129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Fundraising für Wahlen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2500.00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2100.00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89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Divers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208.34</w:t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>
          <w:trHeight w:val="906" w:hRule="atLeast"/>
        </w:trPr>
        <w:tc>
          <w:tcPr>
            <w:tcW w:w="2498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Total Einnahmen</w:t>
            </w:r>
          </w:p>
        </w:tc>
        <w:tc>
          <w:tcPr>
            <w:tcW w:w="2169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4222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3330,34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  <w:tc>
          <w:tcPr>
            <w:tcW w:w="217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2430,8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tbl>
      <w:tblPr>
        <w:tblStyle w:val="Tabellenraster"/>
        <w:tblW w:w="90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51"/>
        <w:gridCol w:w="2251"/>
        <w:gridCol w:w="2252"/>
        <w:gridCol w:w="2251"/>
      </w:tblGrid>
      <w:tr>
        <w:trPr>
          <w:trHeight w:val="862" w:hRule="atLeast"/>
        </w:trPr>
        <w:tc>
          <w:tcPr>
            <w:tcW w:w="9005" w:type="dxa"/>
            <w:gridSpan w:val="4"/>
            <w:tcBorders/>
          </w:tcPr>
          <w:p>
            <w:pPr>
              <w:pStyle w:val="Normal"/>
              <w:pageBreakBefore/>
              <w:widowControl/>
              <w:spacing w:before="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Ausgaben</w:t>
            </w:r>
          </w:p>
        </w:tc>
      </w:tr>
      <w:tr>
        <w:trPr>
          <w:trHeight w:val="871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Zweck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2023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Rechnung 2023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2024</w:t>
            </w:r>
          </w:p>
        </w:tc>
      </w:tr>
      <w:tr>
        <w:trPr>
          <w:trHeight w:val="1246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Versammlung, Events, Geschenke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700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756.25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1000</w:t>
            </w:r>
          </w:p>
        </w:tc>
      </w:tr>
      <w:tr>
        <w:trPr>
          <w:trHeight w:val="862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Wahlen &amp; Abstimmungen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3322.74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</w:t>
            </w:r>
          </w:p>
        </w:tc>
      </w:tr>
      <w:tr>
        <w:trPr>
          <w:trHeight w:val="871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Osterlager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0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</w:t>
            </w:r>
          </w:p>
        </w:tc>
      </w:tr>
      <w:tr>
        <w:trPr>
          <w:trHeight w:val="862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Aktionen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67.40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350</w:t>
            </w:r>
          </w:p>
        </w:tc>
      </w:tr>
      <w:tr>
        <w:trPr>
          <w:trHeight w:val="862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Konto &amp; Adresse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61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101</w:t>
            </w:r>
          </w:p>
        </w:tc>
      </w:tr>
      <w:tr>
        <w:trPr>
          <w:trHeight w:val="871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Total Ausgaben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3700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4207,39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instrText xml:space="preserve"> =SUM(ABOVE)</w:instrTex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t>1951</w:t>
            </w:r>
            <w:r>
              <w:rPr>
                <w:sz w:val="22"/>
                <w:kern w:val="0"/>
                <w:szCs w:val="22"/>
                <w:rFonts w:eastAsia="Calibri" w:cs="Arial"/>
                <w:lang w:val="de-DE" w:eastAsia="en-US" w:bidi="ar-SA"/>
              </w:rPr>
              <w:fldChar w:fldCharType="end"/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tbl>
      <w:tblPr>
        <w:tblStyle w:val="Tabellenraster"/>
        <w:tblW w:w="90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51"/>
        <w:gridCol w:w="2251"/>
        <w:gridCol w:w="2252"/>
        <w:gridCol w:w="2251"/>
      </w:tblGrid>
      <w:tr>
        <w:trPr>
          <w:trHeight w:val="861" w:hRule="atLeast"/>
        </w:trPr>
        <w:tc>
          <w:tcPr>
            <w:tcW w:w="2251" w:type="dxa"/>
            <w:tcBorders/>
          </w:tcPr>
          <w:p>
            <w:pPr>
              <w:pStyle w:val="Normal"/>
              <w:pageBreakBefore/>
              <w:widowControl/>
              <w:spacing w:before="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Erfolgsrechnung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2023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Rechnung 2023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2024</w:t>
            </w:r>
          </w:p>
        </w:tc>
      </w:tr>
      <w:tr>
        <w:trPr>
          <w:trHeight w:val="870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Einnahmen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4222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3330.34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2430.80</w:t>
            </w:r>
          </w:p>
        </w:tc>
      </w:tr>
      <w:tr>
        <w:trPr>
          <w:trHeight w:val="861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Ausgaben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3700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4207.39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1951</w:t>
            </w:r>
          </w:p>
        </w:tc>
      </w:tr>
      <w:tr>
        <w:trPr>
          <w:trHeight w:val="870" w:hRule="atLeast"/>
        </w:trPr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Differenz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522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-877.05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479.8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67"/>
        <w:gridCol w:w="1877"/>
        <w:gridCol w:w="1877"/>
        <w:gridCol w:w="1640"/>
        <w:gridCol w:w="1642"/>
      </w:tblGrid>
      <w:tr>
        <w:trPr>
          <w:trHeight w:val="885" w:hRule="atLeast"/>
        </w:trPr>
        <w:tc>
          <w:tcPr>
            <w:tcW w:w="196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Bilanz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2023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Rechnung 2023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Budget 2024</w:t>
            </w:r>
          </w:p>
        </w:tc>
      </w:tr>
      <w:tr>
        <w:trPr>
          <w:trHeight w:val="895" w:hRule="atLeast"/>
        </w:trPr>
        <w:tc>
          <w:tcPr>
            <w:tcW w:w="196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26.05.2023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2569.81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2569.81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31.12.2023</w:t>
            </w:r>
          </w:p>
        </w:tc>
        <w:tc>
          <w:tcPr>
            <w:tcW w:w="16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1692.76</w:t>
            </w:r>
          </w:p>
        </w:tc>
      </w:tr>
      <w:tr>
        <w:trPr>
          <w:trHeight w:val="885" w:hRule="atLeast"/>
        </w:trPr>
        <w:tc>
          <w:tcPr>
            <w:tcW w:w="196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31.12.2023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3091.81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1692.76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31.12.2024</w:t>
            </w:r>
          </w:p>
        </w:tc>
        <w:tc>
          <w:tcPr>
            <w:tcW w:w="16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2’172.56</w:t>
            </w:r>
          </w:p>
        </w:tc>
      </w:tr>
      <w:tr>
        <w:trPr>
          <w:trHeight w:val="1280" w:hRule="atLeast"/>
        </w:trPr>
        <w:tc>
          <w:tcPr>
            <w:tcW w:w="196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Differenz zum Budget</w:t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877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  <w:t>-1399.05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  <w:tc>
          <w:tcPr>
            <w:tcW w:w="1642" w:type="dxa"/>
            <w:tcBorders/>
          </w:tcPr>
          <w:p>
            <w:pPr>
              <w:pStyle w:val="Normal"/>
              <w:widowControl/>
              <w:spacing w:before="240" w:after="240"/>
              <w:jc w:val="left"/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360" w:before="240" w:after="24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de-D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4464"/>
    <w:pPr>
      <w:widowControl/>
      <w:bidi w:val="0"/>
      <w:spacing w:lineRule="auto" w:line="360" w:before="240" w:after="240"/>
      <w:jc w:val="left"/>
    </w:pPr>
    <w:rPr>
      <w:rFonts w:ascii="Arial" w:hAnsi="Arial" w:eastAsia="Calibri" w:cs="Arial" w:cstheme="minorBidi" w:eastAsiaTheme="minorHAnsi"/>
      <w:color w:val="auto"/>
      <w:kern w:val="0"/>
      <w:sz w:val="22"/>
      <w:szCs w:val="22"/>
      <w:lang w:val="de-DE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Berschrift1Zchn"/>
    <w:autoRedefine/>
    <w:uiPriority w:val="9"/>
    <w:qFormat/>
    <w:rsid w:val="00964464"/>
    <w:pPr>
      <w:keepNext w:val="true"/>
      <w:keepLines/>
      <w:numPr>
        <w:ilvl w:val="0"/>
        <w:numId w:val="3"/>
      </w:numPr>
      <w:ind w:left="360" w:hanging="360"/>
      <w:outlineLvl w:val="0"/>
    </w:pPr>
    <w:rPr>
      <w:rFonts w:eastAsia="" w:cs="Times New Roman" w:cstheme="majorBidi" w:eastAsiaTheme="majorEastAsia"/>
      <w:color w:themeColor="accent1" w:themeShade="bf" w:val="2F5496"/>
      <w:sz w:val="36"/>
      <w:szCs w:val="32"/>
    </w:rPr>
  </w:style>
  <w:style w:type="paragraph" w:styleId="Heading2">
    <w:name w:val="Heading 2"/>
    <w:basedOn w:val="Normal"/>
    <w:next w:val="Normal"/>
    <w:link w:val="Berschrift2Zchn"/>
    <w:autoRedefine/>
    <w:uiPriority w:val="9"/>
    <w:unhideWhenUsed/>
    <w:qFormat/>
    <w:rsid w:val="00964464"/>
    <w:pPr>
      <w:keepNext w:val="true"/>
      <w:keepLines/>
      <w:numPr>
        <w:ilvl w:val="1"/>
        <w:numId w:val="2"/>
      </w:numPr>
      <w:spacing w:lineRule="auto" w:line="240" w:before="0" w:after="0"/>
      <w:outlineLvl w:val="1"/>
    </w:pPr>
    <w:rPr>
      <w:rFonts w:eastAsia="" w:cs="Times New Roman" w:cstheme="majorBidi" w:eastAsiaTheme="majorEastAsia"/>
      <w:color w:themeColor="accent1" w:themeShade="bf" w:val="2F5496"/>
      <w:sz w:val="32"/>
      <w:szCs w:val="26"/>
    </w:rPr>
  </w:style>
  <w:style w:type="paragraph" w:styleId="Heading3">
    <w:name w:val="Heading 3"/>
    <w:basedOn w:val="Normal"/>
    <w:next w:val="Normal"/>
    <w:link w:val="Berschrift3Zchn"/>
    <w:autoRedefine/>
    <w:uiPriority w:val="9"/>
    <w:unhideWhenUsed/>
    <w:qFormat/>
    <w:rsid w:val="00964464"/>
    <w:pPr>
      <w:keepNext w:val="true"/>
      <w:keepLines/>
      <w:numPr>
        <w:ilvl w:val="2"/>
        <w:numId w:val="1"/>
      </w:numPr>
      <w:spacing w:lineRule="auto" w:line="240" w:before="0" w:after="0"/>
      <w:outlineLvl w:val="2"/>
    </w:pPr>
    <w:rPr>
      <w:rFonts w:eastAsia="" w:cs="Times New Roman" w:cstheme="majorBidi" w:eastAsiaTheme="majorEastAsia"/>
      <w:color w:themeColor="accent1" w:themeShade="bf" w:val="2F5496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Heading1"/>
    <w:uiPriority w:val="9"/>
    <w:qFormat/>
    <w:rsid w:val="00964464"/>
    <w:rPr>
      <w:rFonts w:ascii="Arial" w:hAnsi="Arial" w:eastAsia="" w:cs="Times New Roman" w:cstheme="majorBidi" w:eastAsiaTheme="majorEastAsia"/>
      <w:color w:themeColor="accent1" w:themeShade="bf" w:val="2F5496"/>
      <w:sz w:val="36"/>
      <w:szCs w:val="32"/>
      <w:lang w:val="de-DE"/>
    </w:rPr>
  </w:style>
  <w:style w:type="character" w:styleId="Berschrift2Zchn" w:customStyle="1">
    <w:name w:val="Überschrift 2 Zchn"/>
    <w:basedOn w:val="DefaultParagraphFont"/>
    <w:link w:val="Heading2"/>
    <w:uiPriority w:val="9"/>
    <w:qFormat/>
    <w:rsid w:val="00964464"/>
    <w:rPr>
      <w:rFonts w:ascii="Arial" w:hAnsi="Arial" w:eastAsia="" w:cs="Times New Roman" w:cstheme="majorBidi" w:eastAsiaTheme="majorEastAsia"/>
      <w:color w:themeColor="accent1" w:themeShade="bf" w:val="2F5496"/>
      <w:sz w:val="32"/>
      <w:szCs w:val="26"/>
    </w:rPr>
  </w:style>
  <w:style w:type="character" w:styleId="Berschrift3Zchn" w:customStyle="1">
    <w:name w:val="Überschrift 3 Zchn"/>
    <w:basedOn w:val="DefaultParagraphFont"/>
    <w:link w:val="Heading3"/>
    <w:uiPriority w:val="9"/>
    <w:qFormat/>
    <w:rsid w:val="00964464"/>
    <w:rPr>
      <w:rFonts w:ascii="Arial" w:hAnsi="Arial" w:eastAsia="" w:cs="Times New Roman" w:cstheme="majorBidi" w:eastAsiaTheme="majorEastAsia"/>
      <w:color w:themeColor="accent1" w:themeShade="bf" w:val="2F5496"/>
      <w:sz w:val="24"/>
      <w:szCs w:val="24"/>
    </w:rPr>
  </w:style>
  <w:style w:type="character" w:styleId="KopfzeileZchn" w:customStyle="1">
    <w:name w:val="Kopfzeile Zchn"/>
    <w:basedOn w:val="DefaultParagraphFont"/>
    <w:link w:val="Header"/>
    <w:uiPriority w:val="99"/>
    <w:qFormat/>
    <w:rsid w:val="00e61649"/>
    <w:rPr>
      <w:rFonts w:ascii="Arial" w:hAnsi="Arial"/>
    </w:rPr>
  </w:style>
  <w:style w:type="character" w:styleId="FuzeileZchn" w:customStyle="1">
    <w:name w:val="Fußzeile Zchn"/>
    <w:basedOn w:val="DefaultParagraphFont"/>
    <w:link w:val="Footer"/>
    <w:uiPriority w:val="99"/>
    <w:qFormat/>
    <w:rsid w:val="00e61649"/>
    <w:rPr>
      <w:rFonts w:ascii="Arial" w:hAnsi="Aria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Carlito" w:hAnsi="Carlito"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e616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e616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454f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36BC-279C-453E-BE21-902FB3FA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Collabora_Office/23.05.7.5$Linux_X86_64 LibreOffice_project/efa47c29450dbe156497c26f1f85b1d570ffec9a</Application>
  <AppVersion>15.0000</AppVersion>
  <Pages>3</Pages>
  <Words>123</Words>
  <Characters>752</Characters>
  <CharactersWithSpaces>792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2024-01-09T07:17:00Z</dcterms:created>
  <dc:creator>Freudenthaler Levin</dc:creator>
  <dc:description/>
  <dc:language>en-US</dc:language>
  <cp:lastModifiedBy/>
  <dcterms:modified xsi:type="dcterms:W3CDTF">2024-01-31T19:02:26Z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